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Stofe vechi, o mandolină,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Cézanne și doi Gauguin,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măști de bronz:Beethoven, Berlioz, Wagner, Chopin,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sofa arabă, două vechi icoane bizantine,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potir de-argint, mai multe vase vechi de Saxa,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mimoza, tamburine spaniole, lampioane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Japoneze, trei foteluri cu inscripții musulmane,"Fleurs du mal" legate-n piele de Cordova,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pian:Charles Baudelaire și-alături Villiers de l'Isle-Adam...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ca și-altădată...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bazar sentimental!...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ca la plecarea mea - dantelă și cristal...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toate-acestea, câte tocuri nu-și lăsară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covoarele-ți bogate de Buhara?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enorma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colecție de patimi, câte buze nu-ncercară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transcrie madrigaluri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tăi de ceară?...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tragice-nceputuri nu sfârșiră-n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Mută-a lacrimilor?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pieriră-n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cea dintâi fu cea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dorința ta... nimicul - și nimicul nu se curmă!...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m-așteptai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Iată-mă, sosesc și-ți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Te-ntâlnesc întâia oară... Tot ce-a fost n-a fost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 din nou... Aprinde lampioanele...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Transparentele... Dă-mi calmul și culorile de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și buzele, și ochii, și..."Les fleures du mal" la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sute treizeci și nouă: "La mort des amants"...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amanții tăi ce-așteaptă pe trotuar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Mă-ntrupează-n cel de-alt'dată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Pe-araba ta sofa: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Cântece-n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Flori,Et caetera!...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