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Isteriada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Istorie și patologie socială români de consum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 de excepție Nenea Iancu și Lord Bayron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roz versus Declarația Drepturilor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între tăvălugul bășcăliei naționale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Imponderabilitatea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 tăcerea ne doare mai ceva ca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poziție de drepți toată lumea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soarele pe undeva Însă pentru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istoria condiției umane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ezită Oare o fi uitat pe unde să perforeze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nopții ONU a rămas un nume și atât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grada personală fiecare taie capra vecinului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 noaptea familială dată la maximum În piața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națiunilor foamea cântă internaționala la țambal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întrebi dacă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